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7D" w:rsidRDefault="0037683B">
      <w:pPr>
        <w:pStyle w:val="Heading2"/>
        <w:shd w:val="clear" w:color="auto" w:fill="FFFFFF"/>
        <w:spacing w:before="0" w:after="0"/>
        <w:rPr>
          <w:rFonts w:ascii="Arial" w:eastAsia="Arial" w:hAnsi="Arial" w:cs="Arial"/>
          <w:sz w:val="39"/>
          <w:szCs w:val="39"/>
        </w:rPr>
      </w:pPr>
      <w:bookmarkStart w:id="0" w:name="_GoBack"/>
      <w:bookmarkEnd w:id="0"/>
      <w:r>
        <w:rPr>
          <w:rFonts w:ascii="inherit" w:eastAsia="inherit" w:hAnsi="inherit" w:cs="inherit"/>
          <w:noProof/>
          <w:color w:val="DD3333"/>
          <w:sz w:val="39"/>
          <w:szCs w:val="39"/>
        </w:rPr>
        <w:drawing>
          <wp:inline distT="114300" distB="114300" distL="114300" distR="114300">
            <wp:extent cx="5755671" cy="43083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671" cy="4308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5450" w:type="dxa"/>
        <w:tblLayout w:type="fixed"/>
        <w:tblLook w:val="0400" w:firstRow="0" w:lastRow="0" w:firstColumn="0" w:lastColumn="0" w:noHBand="0" w:noVBand="1"/>
      </w:tblPr>
      <w:tblGrid>
        <w:gridCol w:w="857"/>
        <w:gridCol w:w="2597"/>
        <w:gridCol w:w="1996"/>
      </w:tblGrid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proofErr w:type="spellStart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A86E8"/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sz w:val="24"/>
                <w:szCs w:val="24"/>
              </w:rPr>
              <w:t>Bashkia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A86E8"/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proofErr w:type="spellStart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 xml:space="preserve"> kontakti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Belsh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0692919515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Berat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0682014296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Bulqizë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0695161725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Cërrik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058122263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Delvinë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0696676906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Devoll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0695576828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Dibër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0685275209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Divjakë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0693749294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9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Dropull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0884 90058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10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Durrës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052224796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11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Elbasan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0692295921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12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Fier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0696538477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13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 xml:space="preserve">Bashkia </w:t>
            </w:r>
            <w:proofErr w:type="spellStart"/>
            <w:r>
              <w:rPr>
                <w:rFonts w:ascii="inherit" w:eastAsia="inherit" w:hAnsi="inherit" w:cs="inherit"/>
                <w:sz w:val="24"/>
                <w:szCs w:val="24"/>
              </w:rPr>
              <w:t>Finiq</w:t>
            </w:r>
            <w:proofErr w:type="spellEnd"/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0696509496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14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Fushë Arrëz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0685048975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15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Gjirokastër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0692951237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16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Gramsh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0699120128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17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Has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0695751821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18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Himarë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0696674826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19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 xml:space="preserve">Bashkia </w:t>
            </w:r>
            <w:proofErr w:type="spellStart"/>
            <w:r>
              <w:rPr>
                <w:rFonts w:ascii="inherit" w:eastAsia="inherit" w:hAnsi="inherit" w:cs="inherit"/>
                <w:sz w:val="24"/>
                <w:szCs w:val="24"/>
              </w:rPr>
              <w:t>Kamëz</w:t>
            </w:r>
            <w:proofErr w:type="spellEnd"/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0686295784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20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Kavajë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055800807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proofErr w:type="spellStart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A86E8"/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sz w:val="24"/>
                <w:szCs w:val="24"/>
              </w:rPr>
              <w:t>Bashkia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A86E8"/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proofErr w:type="spellStart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 xml:space="preserve"> kontakti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21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Këlcyrë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0684330832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22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Klos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0685675890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23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Kolonjë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081222644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24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Konispol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0696804355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25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Korçë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0695555832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Krujë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051122005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27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Kuçovë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031122208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28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Kukës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682633101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29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Kurbin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0685823052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30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Lezhë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0694311531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31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Libohovë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0685388662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32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Librazhd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0698720506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33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Lushnje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0693527260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34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Malësi e Madhe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0693160202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35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Maliq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0675829885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36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Mallakastër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031322113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37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Mat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0686517221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38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Memaliaj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AA417D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39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Mirditë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021622233</w:t>
            </w:r>
          </w:p>
        </w:tc>
      </w:tr>
      <w:tr w:rsidR="00AA417D">
        <w:tc>
          <w:tcPr>
            <w:tcW w:w="85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40</w:t>
            </w:r>
          </w:p>
        </w:tc>
        <w:tc>
          <w:tcPr>
            <w:tcW w:w="259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Patos</w:t>
            </w:r>
          </w:p>
        </w:tc>
        <w:tc>
          <w:tcPr>
            <w:tcW w:w="199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0686235260</w:t>
            </w:r>
          </w:p>
        </w:tc>
      </w:tr>
    </w:tbl>
    <w:p w:rsidR="00AA417D" w:rsidRDefault="00AA41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inherit" w:eastAsia="inherit" w:hAnsi="inherit" w:cs="inherit"/>
          <w:sz w:val="24"/>
          <w:szCs w:val="24"/>
        </w:rPr>
      </w:pPr>
    </w:p>
    <w:tbl>
      <w:tblPr>
        <w:tblStyle w:val="a0"/>
        <w:tblW w:w="5340" w:type="dxa"/>
        <w:tblLayout w:type="fixed"/>
        <w:tblLook w:val="0400" w:firstRow="0" w:lastRow="0" w:firstColumn="0" w:lastColumn="0" w:noHBand="0" w:noVBand="1"/>
      </w:tblPr>
      <w:tblGrid>
        <w:gridCol w:w="816"/>
        <w:gridCol w:w="2619"/>
        <w:gridCol w:w="1905"/>
      </w:tblGrid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b/>
                <w:sz w:val="24"/>
                <w:szCs w:val="24"/>
              </w:rPr>
            </w:pPr>
            <w:proofErr w:type="spellStart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A86E8"/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b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sz w:val="24"/>
                <w:szCs w:val="24"/>
              </w:rPr>
              <w:t>Bashkia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4A86E8"/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b/>
                <w:sz w:val="24"/>
                <w:szCs w:val="24"/>
              </w:rPr>
            </w:pPr>
            <w:proofErr w:type="spellStart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inherit" w:eastAsia="inherit" w:hAnsi="inherit" w:cs="inherit"/>
                <w:b/>
                <w:sz w:val="24"/>
                <w:szCs w:val="24"/>
              </w:rPr>
              <w:t xml:space="preserve"> kontaktit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42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Përmet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0692288617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43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Pogradec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0695606972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Poliçan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0692474138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45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 xml:space="preserve">Bashkia </w:t>
            </w:r>
            <w:proofErr w:type="spellStart"/>
            <w:r>
              <w:rPr>
                <w:rFonts w:ascii="inherit" w:eastAsia="inherit" w:hAnsi="inherit" w:cs="inherit"/>
                <w:sz w:val="24"/>
                <w:szCs w:val="24"/>
              </w:rPr>
              <w:t>Prrenjas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059122604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46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Pukë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0685020740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47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 xml:space="preserve">Bashkia </w:t>
            </w:r>
            <w:proofErr w:type="spellStart"/>
            <w:r>
              <w:rPr>
                <w:rFonts w:ascii="inherit" w:eastAsia="inherit" w:hAnsi="inherit" w:cs="inherit"/>
                <w:sz w:val="24"/>
                <w:szCs w:val="24"/>
              </w:rPr>
              <w:t>Pustec</w:t>
            </w:r>
            <w:proofErr w:type="spellEnd"/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0688291188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48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Roskovec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038780245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49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Rrogozhinë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0699316055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50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Sarandë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0692609325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51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Selenicë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0689022658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52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Shijak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0697685535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53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Shkodër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0673448819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54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Skrapar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031223090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55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Tepelenë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0693482422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56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Tiranë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08000888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57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Tropojë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021322373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58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Ura Vajgurore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0692617915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59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Vau i Dejës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0695813755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60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Vlorë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0695134450</w:t>
            </w:r>
          </w:p>
        </w:tc>
      </w:tr>
      <w:tr w:rsidR="00AA417D">
        <w:tc>
          <w:tcPr>
            <w:tcW w:w="81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61</w:t>
            </w:r>
          </w:p>
        </w:tc>
        <w:tc>
          <w:tcPr>
            <w:tcW w:w="261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Bashkia Vorë</w:t>
            </w:r>
          </w:p>
        </w:tc>
        <w:tc>
          <w:tcPr>
            <w:tcW w:w="19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85" w:type="dxa"/>
              <w:left w:w="240" w:type="dxa"/>
              <w:bottom w:w="185" w:type="dxa"/>
              <w:right w:w="240" w:type="dxa"/>
            </w:tcMar>
            <w:vAlign w:val="bottom"/>
          </w:tcPr>
          <w:p w:rsidR="00AA417D" w:rsidRDefault="0037683B">
            <w:pPr>
              <w:spacing w:after="0" w:line="240" w:lineRule="auto"/>
              <w:rPr>
                <w:rFonts w:ascii="inherit" w:eastAsia="inherit" w:hAnsi="inherit" w:cs="inherit"/>
                <w:sz w:val="24"/>
                <w:szCs w:val="24"/>
              </w:rPr>
            </w:pPr>
            <w:r>
              <w:rPr>
                <w:rFonts w:ascii="inherit" w:eastAsia="inherit" w:hAnsi="inherit" w:cs="inherit"/>
                <w:sz w:val="24"/>
                <w:szCs w:val="24"/>
              </w:rPr>
              <w:t>0682918201</w:t>
            </w:r>
          </w:p>
        </w:tc>
      </w:tr>
    </w:tbl>
    <w:p w:rsidR="00AA417D" w:rsidRDefault="00AA417D"/>
    <w:sectPr w:rsidR="00AA41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7D"/>
    <w:rsid w:val="0037683B"/>
    <w:rsid w:val="00A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81678-C15E-43ED-83E4-3FEB27C2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128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cex-heading-inner">
    <w:name w:val="vcex-heading-inner"/>
    <w:basedOn w:val="DefaultParagraphFont"/>
    <w:rsid w:val="00612853"/>
  </w:style>
  <w:style w:type="character" w:styleId="Strong">
    <w:name w:val="Strong"/>
    <w:basedOn w:val="DefaultParagraphFont"/>
    <w:uiPriority w:val="22"/>
    <w:qFormat/>
    <w:rsid w:val="00612853"/>
    <w:rPr>
      <w:b/>
      <w:bCs/>
    </w:rPr>
  </w:style>
  <w:style w:type="character" w:styleId="Hyperlink">
    <w:name w:val="Hyperlink"/>
    <w:basedOn w:val="DefaultParagraphFont"/>
    <w:uiPriority w:val="99"/>
    <w:unhideWhenUsed/>
    <w:rsid w:val="0061285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F2VywMtBGRQKvv2AjXuU1/OK9Q==">AMUW2mWDw6zF/Oil+OPeneTOnvNiYqwd9lYKhb0m3G419MCdCdK/XxpqrAv3t04rvnTjMc86IkA1MEgvExlhsQpB8MsM7O9ra3Jx1P+PjjDx6SOXGp/U+Wk=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Nocka</dc:creator>
  <cp:lastModifiedBy>Eda Nocka</cp:lastModifiedBy>
  <cp:revision>2</cp:revision>
  <dcterms:created xsi:type="dcterms:W3CDTF">2021-05-25T11:46:00Z</dcterms:created>
  <dcterms:modified xsi:type="dcterms:W3CDTF">2021-05-25T11:46:00Z</dcterms:modified>
</cp:coreProperties>
</file>