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4A8CDA" w14:textId="77912D51" w:rsidR="005510C0" w:rsidRPr="004E25B2" w:rsidRDefault="005510C0" w:rsidP="00F93A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proofErr w:type="spellStart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Lëndët</w:t>
      </w:r>
      <w:proofErr w:type="spellEnd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Narkotike</w:t>
      </w:r>
      <w:proofErr w:type="spellEnd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dhe</w:t>
      </w:r>
      <w:proofErr w:type="spellEnd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Ndikimi</w:t>
      </w:r>
      <w:proofErr w:type="spellEnd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i Tyre </w:t>
      </w:r>
      <w:proofErr w:type="spellStart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në</w:t>
      </w:r>
      <w:proofErr w:type="spellEnd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Kriminalitet</w:t>
      </w:r>
      <w:proofErr w:type="spellEnd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te </w:t>
      </w:r>
      <w:proofErr w:type="spellStart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të</w:t>
      </w:r>
      <w:proofErr w:type="spellEnd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Miturit</w:t>
      </w:r>
      <w:proofErr w:type="spellEnd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dhe</w:t>
      </w:r>
      <w:proofErr w:type="spellEnd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të</w:t>
      </w:r>
      <w:proofErr w:type="spellEnd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Rinjtë</w:t>
      </w:r>
      <w:proofErr w:type="spellEnd"/>
      <w:r w:rsidR="004E25B2"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n</w:t>
      </w:r>
      <w:r w:rsidR="004E25B2" w:rsidRPr="004E25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sq-AL"/>
        </w:rPr>
        <w:t>ë kuadër të Ditës Ndërkombëtare kundër Abuzimit dhe Trafikimit të Paligjshëm të Drogës</w:t>
      </w:r>
    </w:p>
    <w:p w14:paraId="400A58B8" w14:textId="77777777" w:rsidR="005510C0" w:rsidRPr="001F6557" w:rsidRDefault="005510C0" w:rsidP="001F655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Abstrakt</w:t>
      </w:r>
      <w:proofErr w:type="spellEnd"/>
    </w:p>
    <w:p w14:paraId="67FA564B" w14:textId="6C242427" w:rsidR="005510C0" w:rsidRPr="005510C0" w:rsidRDefault="005510C0" w:rsidP="004E2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Lëndët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narkotike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përbëjnë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problemet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akute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kohës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moderne, duke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prekur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kritike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grupmoshën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14–21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Kjo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periudhë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përfshin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adoleshencën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mesme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rininë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hershme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karakterizohet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vulnerabilitet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psiko-social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biologjik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Ky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punim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trajton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marrëdhënien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ndërmjet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përdorimit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substancave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narkotike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personat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14–21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përfshirjes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tyre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aktivitete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global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ashtu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kontekstin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Përmes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analizës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statistikore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INSTAT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evidentohen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faktorët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specifikë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rrezikut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gjinore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format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kriminalitetit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lidhura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drogën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delikuenca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miturve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(14–17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)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kriminaliteti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penal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rinjve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(18–21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tregon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parandalimi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hershëm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institucional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zbatimi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efektiv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Paketës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Sigurisë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25B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510C0">
        <w:rPr>
          <w:rFonts w:ascii="Times New Roman" w:eastAsia="Times New Roman" w:hAnsi="Times New Roman" w:cs="Times New Roman"/>
          <w:sz w:val="24"/>
          <w:szCs w:val="24"/>
        </w:rPr>
        <w:t>hkolla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vendimtarë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thyer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ciklin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varësisë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kriminalitetit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Shqipëri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CD7815" w14:textId="77777777" w:rsidR="005510C0" w:rsidRPr="005510C0" w:rsidRDefault="005510C0" w:rsidP="00551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Fjalë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kyçe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14–21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adoleshentët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rinjtë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lëndët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narkotike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kriminaliteti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Shqipëria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Paketa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Sigurisë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BAC417" w14:textId="0CE68BEB" w:rsidR="005510C0" w:rsidRPr="001F6557" w:rsidRDefault="005510C0" w:rsidP="001F655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Hyrje</w:t>
      </w:r>
      <w:proofErr w:type="spellEnd"/>
    </w:p>
    <w:p w14:paraId="1F0163B9" w14:textId="77777777" w:rsidR="005510C0" w:rsidRPr="005510C0" w:rsidRDefault="005510C0" w:rsidP="004E2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Grupmosha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përfaqëson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fazën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kritike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zhvillimit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individit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kalimin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fëmijëria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moshën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rritur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përfundimin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shkollës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mesme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nisjen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studimeve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tregut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periudhë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mbushur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kërkim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identitetit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metë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ekspozuar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rreziqeve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ku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shkatërruesi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mbetet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abuzimi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lëndët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narkotike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BC82A6" w14:textId="77777777" w:rsidR="001F6557" w:rsidRDefault="005510C0" w:rsidP="001F6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flasim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drogën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kriminalitetin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kjo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grupmoshë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gjendet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qendër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ciklit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njëra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14–1</w:t>
      </w:r>
      <w:r w:rsidR="004E25B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miturit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dritën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penal)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manipulohet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shfrytëzohet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lehtësisht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rrjetet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shkak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dënimeve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lehta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parashikon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Kodi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Drejtësisë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Mitur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ana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tjetër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18–21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rinjtë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mbartin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shpesh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bëhen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ekzekutorë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krimeve 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akteve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dhunës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shkak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varësisë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Ky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punim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analizon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dinamikat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fenomeni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duke u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fokusuar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rreziqet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specifike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faktorët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gjinorë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shifrat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alarmante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kërcënojnë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adoleshentët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rinjtë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shqiptarë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sot.</w:t>
      </w:r>
    </w:p>
    <w:p w14:paraId="386FEFAE" w14:textId="2B357AD8" w:rsidR="005510C0" w:rsidRPr="001F6557" w:rsidRDefault="005510C0" w:rsidP="001F6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Vulnerabiliteti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Biologjik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dhe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Social i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Moshës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14–21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Vjeç</w:t>
      </w:r>
      <w:proofErr w:type="spellEnd"/>
    </w:p>
    <w:p w14:paraId="394ABF87" w14:textId="77777777" w:rsidR="005510C0" w:rsidRPr="005510C0" w:rsidRDefault="005510C0" w:rsidP="004E2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neuroshkencës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truri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vazhdon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moshën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25-vjeçare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Korteksi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prefrontal,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përgjegjës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kontrollin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impulseve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vlerësimin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rrezikut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marrjen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vendimeve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ende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papjekur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19-vjeçar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Kjo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krijon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terren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ku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dëshira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eksperimentuar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sfiduar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autoritetin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mposht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arsyen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9B139F" w14:textId="77777777" w:rsidR="001F6557" w:rsidRDefault="005510C0" w:rsidP="001F6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aspektin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social,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mjedisi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ku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lëvizin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personat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14–21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rrënjësisht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150ADA" w14:textId="4C4DD2C1" w:rsidR="005510C0" w:rsidRPr="001F6557" w:rsidRDefault="005510C0" w:rsidP="001F655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Tranzicioni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shkollor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presioni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grupit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Kalimi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shkolla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9-vjeçare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mesme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rreth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14–15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pas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universitet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(18–19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krijon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ankth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social.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Përdorimi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drogës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fillimisht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kanabis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shihet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shpesh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biletë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t'u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pranuar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shoqëri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mekanizëm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përballuar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stresin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4DF270" w14:textId="77777777" w:rsidR="005510C0" w:rsidRPr="001F6557" w:rsidRDefault="005510C0" w:rsidP="001F655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Dixhitalizimi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tregut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drogës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grupmoshë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cila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lindur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epokën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teknologjisë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gjetja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narkotikëve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kërkon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njohjen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kriminelëve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rrugë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Aplikacionet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mesazhe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koduara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Telegram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Snapchat) e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kthyer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blerjen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drogës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thjeshtë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shpejtë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plotësisht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fshehtë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sytë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prindërve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sz w:val="24"/>
          <w:szCs w:val="24"/>
        </w:rPr>
        <w:t>mësuesve</w:t>
      </w:r>
      <w:proofErr w:type="spellEnd"/>
      <w:r w:rsidRPr="001F65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9D35D3" w14:textId="421EAA0D" w:rsidR="009C7FE6" w:rsidRPr="009C7FE6" w:rsidRDefault="009C7FE6" w:rsidP="009C7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F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C7F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aspektin ligjor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qendron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25B2">
        <w:rPr>
          <w:rFonts w:ascii="Times New Roman" w:eastAsia="Times New Roman" w:hAnsi="Times New Roman" w:cs="Times New Roman"/>
          <w:sz w:val="24"/>
          <w:szCs w:val="24"/>
        </w:rPr>
        <w:t>arrëdhënia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midis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lëndëve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narkotike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kriminalitetit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grupmoshat 14-</w:t>
      </w:r>
      <w:r w:rsidR="00CD1A18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  <w:r w:rsidR="00DA2545">
        <w:rPr>
          <w:rFonts w:ascii="Times New Roman" w:eastAsia="Times New Roman" w:hAnsi="Times New Roman" w:cs="Times New Roman"/>
          <w:sz w:val="24"/>
          <w:szCs w:val="24"/>
          <w:lang w:val="sq-A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vjeç dhe 18-21 vjeç:</w:t>
      </w:r>
    </w:p>
    <w:p w14:paraId="455A186F" w14:textId="3BF00EBD" w:rsidR="005510C0" w:rsidRPr="004E25B2" w:rsidRDefault="001F6557" w:rsidP="004E25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5510C0" w:rsidRPr="004E25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5510C0" w:rsidRPr="004E25B2">
        <w:rPr>
          <w:rFonts w:ascii="Times New Roman" w:eastAsia="Times New Roman" w:hAnsi="Times New Roman" w:cs="Times New Roman"/>
          <w:b/>
          <w:bCs/>
          <w:sz w:val="24"/>
          <w:szCs w:val="24"/>
        </w:rPr>
        <w:t>Mosha</w:t>
      </w:r>
      <w:proofErr w:type="spellEnd"/>
      <w:r w:rsidR="005510C0" w:rsidRPr="004E25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14–17 </w:t>
      </w:r>
      <w:proofErr w:type="spellStart"/>
      <w:r w:rsidR="005510C0" w:rsidRPr="004E25B2">
        <w:rPr>
          <w:rFonts w:ascii="Times New Roman" w:eastAsia="Times New Roman" w:hAnsi="Times New Roman" w:cs="Times New Roman"/>
          <w:b/>
          <w:bCs/>
          <w:sz w:val="24"/>
          <w:szCs w:val="24"/>
        </w:rPr>
        <w:t>Vjeç</w:t>
      </w:r>
      <w:proofErr w:type="spellEnd"/>
      <w:r w:rsidR="005510C0" w:rsidRPr="004E25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(Të </w:t>
      </w:r>
      <w:proofErr w:type="spellStart"/>
      <w:r w:rsidR="005510C0" w:rsidRPr="004E25B2">
        <w:rPr>
          <w:rFonts w:ascii="Times New Roman" w:eastAsia="Times New Roman" w:hAnsi="Times New Roman" w:cs="Times New Roman"/>
          <w:b/>
          <w:bCs/>
          <w:sz w:val="24"/>
          <w:szCs w:val="24"/>
        </w:rPr>
        <w:t>Miturit</w:t>
      </w:r>
      <w:proofErr w:type="spellEnd"/>
      <w:r w:rsidR="005510C0" w:rsidRPr="004E25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0C0" w:rsidRPr="004E25B2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="005510C0" w:rsidRPr="004E25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0C0" w:rsidRPr="004E25B2">
        <w:rPr>
          <w:rFonts w:ascii="Times New Roman" w:eastAsia="Times New Roman" w:hAnsi="Times New Roman" w:cs="Times New Roman"/>
          <w:b/>
          <w:bCs/>
          <w:sz w:val="24"/>
          <w:szCs w:val="24"/>
        </w:rPr>
        <w:t>Delikuenca</w:t>
      </w:r>
      <w:proofErr w:type="spellEnd"/>
      <w:r w:rsidR="005510C0" w:rsidRPr="004E25B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C683703" w14:textId="4EE168B9" w:rsidR="005510C0" w:rsidRPr="004E25B2" w:rsidRDefault="005510C0" w:rsidP="004E2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Shqipëri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përgjegjësia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nis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moshën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14-vjeçare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Grupet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krimit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organizuar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dinë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kodi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penal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parashikon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dënime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alternative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lehta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miturit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arsye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adoleshentët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14–1</w:t>
      </w:r>
      <w:r w:rsidR="009C7FE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përdoren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masivisht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shpërndarës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vegjël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perimetrat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shkollave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mesme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. Ata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tërhiqen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paratë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shpejta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blerë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rroba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telefona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shtrenjtë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përfundojnë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duke u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bërë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pjesë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skedave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kriminale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25B2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4E25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133C04" w14:textId="4F7410EF" w:rsidR="005510C0" w:rsidRPr="001F6557" w:rsidRDefault="001F6557" w:rsidP="004E25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5510C0"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5510C0"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Mosha</w:t>
      </w:r>
      <w:proofErr w:type="spellEnd"/>
      <w:r w:rsidR="005510C0"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18–21 </w:t>
      </w:r>
      <w:proofErr w:type="spellStart"/>
      <w:r w:rsidR="005510C0"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Vjeç</w:t>
      </w:r>
      <w:proofErr w:type="spellEnd"/>
      <w:r w:rsidR="005510C0"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(Të </w:t>
      </w:r>
      <w:proofErr w:type="spellStart"/>
      <w:r w:rsidR="005510C0"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Rinjtë</w:t>
      </w:r>
      <w:proofErr w:type="spellEnd"/>
      <w:r w:rsidR="005510C0"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0C0"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="005510C0"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0C0"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Krimi</w:t>
      </w:r>
      <w:proofErr w:type="spellEnd"/>
      <w:r w:rsidR="005510C0"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="005510C0"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Dhunshëm</w:t>
      </w:r>
      <w:proofErr w:type="spellEnd"/>
      <w:r w:rsidR="005510C0"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C82BA94" w14:textId="77777777" w:rsidR="001F6557" w:rsidRDefault="005510C0" w:rsidP="001F6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kalimin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individi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mban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Në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fazë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eksperimentimi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hershëm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kthyer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varësi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rëndë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droga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forta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kokaina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amfetaminat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kriminaliteti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ndryshon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formë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siguruar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paratë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dozës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ditore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rinjtë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kryejnë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vjedhje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dhunë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grabitje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banesave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mashtrime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Gjithashtu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prishja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pazareve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drogës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mes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rinjve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sot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burimet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kryesore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plagosjeve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konflikteve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armë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ftohta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zonat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urbane.</w:t>
      </w:r>
    </w:p>
    <w:p w14:paraId="5483C302" w14:textId="6CA04BA4" w:rsidR="005510C0" w:rsidRPr="001F6557" w:rsidRDefault="005510C0" w:rsidP="001F6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7FE6">
        <w:rPr>
          <w:rFonts w:ascii="Times New Roman" w:eastAsia="Times New Roman" w:hAnsi="Times New Roman" w:cs="Times New Roman"/>
          <w:b/>
          <w:bCs/>
          <w:sz w:val="32"/>
          <w:szCs w:val="32"/>
        </w:rPr>
        <w:t>Konteksti</w:t>
      </w:r>
      <w:proofErr w:type="spellEnd"/>
      <w:r w:rsidRPr="009C7FE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C7FE6" w:rsidRPr="009C7FE6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Pr="009C7FE6">
        <w:rPr>
          <w:rFonts w:ascii="Times New Roman" w:eastAsia="Times New Roman" w:hAnsi="Times New Roman" w:cs="Times New Roman"/>
          <w:b/>
          <w:bCs/>
          <w:sz w:val="32"/>
          <w:szCs w:val="32"/>
        </w:rPr>
        <w:t>hqiptar</w:t>
      </w:r>
      <w:proofErr w:type="spellEnd"/>
      <w:r w:rsidRPr="009C7FE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: </w:t>
      </w:r>
      <w:proofErr w:type="spellStart"/>
      <w:r w:rsidRPr="009C7FE6">
        <w:rPr>
          <w:rFonts w:ascii="Times New Roman" w:eastAsia="Times New Roman" w:hAnsi="Times New Roman" w:cs="Times New Roman"/>
          <w:b/>
          <w:bCs/>
          <w:sz w:val="32"/>
          <w:szCs w:val="32"/>
        </w:rPr>
        <w:t>Shkolla</w:t>
      </w:r>
      <w:proofErr w:type="spellEnd"/>
      <w:r w:rsidRPr="009C7FE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9C7FE6">
        <w:rPr>
          <w:rFonts w:ascii="Times New Roman" w:eastAsia="Times New Roman" w:hAnsi="Times New Roman" w:cs="Times New Roman"/>
          <w:b/>
          <w:bCs/>
          <w:sz w:val="32"/>
          <w:szCs w:val="32"/>
        </w:rPr>
        <w:t>Universiteti</w:t>
      </w:r>
      <w:proofErr w:type="spellEnd"/>
      <w:r w:rsidRPr="009C7FE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7FE6">
        <w:rPr>
          <w:rFonts w:ascii="Times New Roman" w:eastAsia="Times New Roman" w:hAnsi="Times New Roman" w:cs="Times New Roman"/>
          <w:b/>
          <w:bCs/>
          <w:sz w:val="32"/>
          <w:szCs w:val="32"/>
        </w:rPr>
        <w:t>dhe</w:t>
      </w:r>
      <w:proofErr w:type="spellEnd"/>
      <w:r w:rsidRPr="009C7FE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7FE6">
        <w:rPr>
          <w:rFonts w:ascii="Times New Roman" w:eastAsia="Times New Roman" w:hAnsi="Times New Roman" w:cs="Times New Roman"/>
          <w:b/>
          <w:bCs/>
          <w:sz w:val="32"/>
          <w:szCs w:val="32"/>
        </w:rPr>
        <w:t>Statistikat</w:t>
      </w:r>
      <w:proofErr w:type="spellEnd"/>
      <w:r w:rsidRPr="009C7FE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7FE6">
        <w:rPr>
          <w:rFonts w:ascii="Times New Roman" w:eastAsia="Times New Roman" w:hAnsi="Times New Roman" w:cs="Times New Roman"/>
          <w:b/>
          <w:bCs/>
          <w:sz w:val="32"/>
          <w:szCs w:val="32"/>
        </w:rPr>
        <w:t>Zyrtare</w:t>
      </w:r>
      <w:proofErr w:type="spellEnd"/>
    </w:p>
    <w:p w14:paraId="5DDD0655" w14:textId="13BA04A8" w:rsidR="005510C0" w:rsidRPr="005510C0" w:rsidRDefault="005510C0" w:rsidP="004E2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Shqipëria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përballet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sfidë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serioze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ku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përdoruesve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autorëve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krimeve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drogës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ulet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ndjeshëm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INSTAT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Prokuroria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Përgjithshme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narkotikëve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shënuar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rritje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rekord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27%</w:t>
      </w: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arritur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mbi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3,600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raste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vit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348C638" w14:textId="77777777" w:rsidR="005510C0" w:rsidRPr="001F6557" w:rsidRDefault="005510C0" w:rsidP="004E25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Perspektiva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Gjinore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Kriminalitetit</w:t>
      </w:r>
      <w:proofErr w:type="spellEnd"/>
    </w:p>
    <w:p w14:paraId="19E915EF" w14:textId="77777777" w:rsidR="005510C0" w:rsidRPr="005510C0" w:rsidRDefault="005510C0" w:rsidP="004E2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dhënat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statistikore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INSTAT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tregojnë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pabarazi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madhe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gjinore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kryerjen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veprave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C7FE6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9C7FE6">
        <w:rPr>
          <w:rFonts w:ascii="Times New Roman" w:eastAsia="Times New Roman" w:hAnsi="Times New Roman" w:cs="Times New Roman"/>
          <w:sz w:val="24"/>
          <w:szCs w:val="24"/>
        </w:rPr>
        <w:t xml:space="preserve"> 93% e </w:t>
      </w:r>
      <w:proofErr w:type="spellStart"/>
      <w:r w:rsidRPr="009C7FE6">
        <w:rPr>
          <w:rFonts w:ascii="Times New Roman" w:eastAsia="Times New Roman" w:hAnsi="Times New Roman" w:cs="Times New Roman"/>
          <w:sz w:val="24"/>
          <w:szCs w:val="24"/>
        </w:rPr>
        <w:t>autorëve</w:t>
      </w:r>
      <w:proofErr w:type="spellEnd"/>
      <w:r w:rsidRPr="009C7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7FE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C7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7FE6">
        <w:rPr>
          <w:rFonts w:ascii="Times New Roman" w:eastAsia="Times New Roman" w:hAnsi="Times New Roman" w:cs="Times New Roman"/>
          <w:sz w:val="24"/>
          <w:szCs w:val="24"/>
        </w:rPr>
        <w:t>dyshuar</w:t>
      </w:r>
      <w:proofErr w:type="spellEnd"/>
      <w:r w:rsidRPr="009C7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7FE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C7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7FE6">
        <w:rPr>
          <w:rFonts w:ascii="Times New Roman" w:eastAsia="Times New Roman" w:hAnsi="Times New Roman" w:cs="Times New Roman"/>
          <w:sz w:val="24"/>
          <w:szCs w:val="24"/>
        </w:rPr>
        <w:t>Shqipëri</w:t>
      </w:r>
      <w:proofErr w:type="spellEnd"/>
      <w:r w:rsidRPr="009C7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7FE6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9C7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7FE6">
        <w:rPr>
          <w:rFonts w:ascii="Times New Roman" w:eastAsia="Times New Roman" w:hAnsi="Times New Roman" w:cs="Times New Roman"/>
          <w:sz w:val="24"/>
          <w:szCs w:val="24"/>
        </w:rPr>
        <w:t>meshkuj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Te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grupmosha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14-21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ky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trend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mjaft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dukshëm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Djemtë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prirur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përfshihen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kriminalitetin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sistemik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aspekti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shpërndarjes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dhunës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përplasjeve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territor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ndërsa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vajzat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nxitja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drejt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substancave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faktorët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psikologjikë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bullizmi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ndikimi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partnerëve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përfshirë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tregtinë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drogës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FB1F29" w14:textId="632EF689" w:rsidR="005510C0" w:rsidRPr="001F6557" w:rsidRDefault="005510C0" w:rsidP="004E25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Statistikat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7FE6"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yçe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3A3888A" w14:textId="77777777" w:rsidR="009C7FE6" w:rsidRDefault="005510C0" w:rsidP="009C7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Peshë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specifike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kriminalitet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Grupmosha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18–29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zë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plot </w:t>
      </w:r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24.8%</w:t>
      </w: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pothuajse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çerekun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)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autorëve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dyshuar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Shqipëri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Pjesa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ndjeshme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grupi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rinjtë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18–21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sapo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dalë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bankat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shkollës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E63C98" w14:textId="036C0FB7" w:rsidR="005510C0" w:rsidRPr="005510C0" w:rsidRDefault="005510C0" w:rsidP="009C7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Procedimet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miturve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(14–1</w:t>
      </w:r>
      <w:r w:rsidR="009C7FE6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Raporti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Prokurorit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Përgjithshëm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tregon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procedimet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miturit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akuzohen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Prodhimi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shitja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narkotikëve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" (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Neni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283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Kodit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Penal)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pësuar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rritje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Shumica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këtyre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rasteve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kapen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flagrancë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doza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kanabisi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ekstazi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shkollave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mesme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ambientet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klubeve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natës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AF69EA" w14:textId="77777777" w:rsidR="005510C0" w:rsidRPr="005510C0" w:rsidRDefault="005510C0" w:rsidP="004E2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fenomen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shqetësues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evidentuar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raportet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Institutit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Shëndetit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(ISHP)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përhapja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drogave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reja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sintetike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inhaluese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gazi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tullumbaceve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oksid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azoti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) te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14–18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shkolla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Këto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substanca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shërbejnë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trampolinë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ku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2–3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viteve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rreth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19–21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)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riu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kalon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varësi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kokainës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heroinës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duke u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zhytur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plotësisht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borxhe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aktivitete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paligjshme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7EEF8F" w14:textId="687A62B9" w:rsidR="005510C0" w:rsidRPr="001F6557" w:rsidRDefault="005510C0" w:rsidP="004E25B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Pasojat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e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Shkatërrimit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të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Potencialit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Rinor</w:t>
      </w:r>
      <w:proofErr w:type="spellEnd"/>
    </w:p>
    <w:p w14:paraId="37B8E13F" w14:textId="77777777" w:rsidR="005510C0" w:rsidRPr="005510C0" w:rsidRDefault="005510C0" w:rsidP="004E2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grupmoshën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14–21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pasojat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drogës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kriminalitetit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thjesht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statistikore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dënim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ardhmen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tyre:</w:t>
      </w:r>
    </w:p>
    <w:p w14:paraId="4AA5EC60" w14:textId="0F26D5B4" w:rsidR="005510C0" w:rsidRPr="005510C0" w:rsidRDefault="005510C0" w:rsidP="004E25B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Ndërprerja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dukimit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Përfshirja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drogë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sjell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braktisjen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shkollës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mesme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mbetjen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universitet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eliminuar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mundësi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karrierë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shëndetshme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6A0B72" w14:textId="4BD87F89" w:rsidR="005510C0" w:rsidRPr="005510C0" w:rsidRDefault="005510C0" w:rsidP="004E25B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Stigmata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ekordi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riminal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18–21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dënohet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drogë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penalizohet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jetën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Rekordi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dëshmia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penalitetit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)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pengon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punësohet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rregullta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shpesh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shtyn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kthehet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sërish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vetmja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rrugë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mbijetese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7D25B0" w14:textId="77777777" w:rsidR="001F6557" w:rsidRDefault="005510C0" w:rsidP="001F655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Shkatërrimi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amiljar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Prindërit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fëmijëve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14–21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përballen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traumë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dyfishtë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rrezikun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humbjes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fëmijës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mbidoza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dhuna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kostot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jashtëzakonshme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avokatë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qendra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rehabilitimi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private.</w:t>
      </w:r>
    </w:p>
    <w:p w14:paraId="63F45839" w14:textId="7011731F" w:rsidR="005510C0" w:rsidRPr="001F6557" w:rsidRDefault="005510C0" w:rsidP="001F6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Strategjitë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e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Shpëtimit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të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Brezit</w:t>
      </w:r>
      <w:proofErr w:type="spellEnd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14–21 </w:t>
      </w: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Vjeç</w:t>
      </w:r>
      <w:proofErr w:type="spellEnd"/>
    </w:p>
    <w:p w14:paraId="2FE961DE" w14:textId="77777777" w:rsidR="005510C0" w:rsidRPr="005510C0" w:rsidRDefault="005510C0" w:rsidP="004E2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adresuar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specifikisht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grupmoshë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strategjitë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parandalimit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ndjekin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rrugëtim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qartë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koordinuar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5C4F5A" w14:textId="7BC3F43D" w:rsidR="005510C0" w:rsidRPr="005510C0" w:rsidRDefault="005510C0" w:rsidP="004E2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1.Zbatimi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Paketës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Sigurisë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Shkolla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F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14–18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5CF109" w14:textId="77777777" w:rsidR="005510C0" w:rsidRPr="005510C0" w:rsidRDefault="005510C0" w:rsidP="004E2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Policia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stafet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shkollave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mbajnë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monitorim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rreptë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perimetrin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shkollave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mesme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rritur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rol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Oficerit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Sigurisë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ndaluar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personat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jashtëm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tentojnë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kontaktojnë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nxënësit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gjatë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pushimeve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t'u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shitur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substanca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narkotike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97A8BB" w14:textId="0A040EA5" w:rsidR="005510C0" w:rsidRPr="005510C0" w:rsidRDefault="005510C0" w:rsidP="004E2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2.Fushatat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Ndërgjegjësuese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Universitete</w:t>
      </w:r>
      <w:proofErr w:type="spellEnd"/>
      <w:r w:rsidRPr="005510C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0D4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18–21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30EC31" w14:textId="77777777" w:rsidR="005510C0" w:rsidRPr="005510C0" w:rsidRDefault="005510C0" w:rsidP="004E2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Universitetet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jenë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thjesht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vende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leksionesh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qendra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edukimit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kundër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drogës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Duhen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krijuar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zyra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këshillimit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psikologjik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falas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anonim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studentët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vitit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parë,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cilët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rrezikuar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jeta e re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pavarur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larg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kontrollit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prindëror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E200F9" w14:textId="58B286A3" w:rsidR="005510C0" w:rsidRPr="000D40E2" w:rsidRDefault="000D40E2" w:rsidP="000D4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0D40E2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5510C0" w:rsidRPr="000D40E2">
        <w:rPr>
          <w:rFonts w:ascii="Times New Roman" w:eastAsia="Times New Roman" w:hAnsi="Times New Roman" w:cs="Times New Roman"/>
          <w:b/>
          <w:bCs/>
          <w:sz w:val="24"/>
          <w:szCs w:val="24"/>
        </w:rPr>
        <w:t>rejtësia</w:t>
      </w:r>
      <w:proofErr w:type="spellEnd"/>
      <w:r w:rsidR="005510C0" w:rsidRPr="000D4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0C0" w:rsidRPr="000D40E2">
        <w:rPr>
          <w:rFonts w:ascii="Times New Roman" w:eastAsia="Times New Roman" w:hAnsi="Times New Roman" w:cs="Times New Roman"/>
          <w:b/>
          <w:bCs/>
          <w:sz w:val="24"/>
          <w:szCs w:val="24"/>
        </w:rPr>
        <w:t>Rest</w:t>
      </w:r>
      <w:r w:rsidR="001F6557" w:rsidRPr="000D40E2">
        <w:rPr>
          <w:rFonts w:ascii="Times New Roman" w:eastAsia="Times New Roman" w:hAnsi="Times New Roman" w:cs="Times New Roman"/>
          <w:b/>
          <w:bCs/>
          <w:sz w:val="24"/>
          <w:szCs w:val="24"/>
        </w:rPr>
        <w:t>auruese</w:t>
      </w:r>
      <w:proofErr w:type="spellEnd"/>
      <w:r w:rsidR="005510C0" w:rsidRPr="000D4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0C0" w:rsidRPr="000D40E2"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 w:rsidR="005510C0" w:rsidRPr="000D4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0C0" w:rsidRPr="000D40E2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5510C0" w:rsidRPr="000D4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0C0" w:rsidRPr="000D40E2">
        <w:rPr>
          <w:rFonts w:ascii="Times New Roman" w:eastAsia="Times New Roman" w:hAnsi="Times New Roman" w:cs="Times New Roman"/>
          <w:b/>
          <w:bCs/>
          <w:sz w:val="24"/>
          <w:szCs w:val="24"/>
        </w:rPr>
        <w:t>Miturit</w:t>
      </w:r>
      <w:proofErr w:type="spellEnd"/>
      <w:r w:rsidR="005510C0" w:rsidRPr="000D40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0C0" w:rsidRPr="000D40E2">
        <w:rPr>
          <w:rFonts w:ascii="Times New Roman" w:eastAsia="Times New Roman" w:hAnsi="Times New Roman" w:cs="Times New Roman"/>
          <w:sz w:val="24"/>
          <w:szCs w:val="24"/>
        </w:rPr>
        <w:t>Ndryshimi</w:t>
      </w:r>
      <w:proofErr w:type="spellEnd"/>
      <w:r w:rsidR="005510C0" w:rsidRPr="000D40E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5510C0" w:rsidRPr="000D40E2">
        <w:rPr>
          <w:rFonts w:ascii="Times New Roman" w:eastAsia="Times New Roman" w:hAnsi="Times New Roman" w:cs="Times New Roman"/>
          <w:sz w:val="24"/>
          <w:szCs w:val="24"/>
        </w:rPr>
        <w:t>qasjes</w:t>
      </w:r>
      <w:proofErr w:type="spellEnd"/>
      <w:r w:rsidR="005510C0" w:rsidRPr="000D4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10C0" w:rsidRPr="000D40E2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="005510C0" w:rsidRPr="000D40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F5E46C" w14:textId="77777777" w:rsidR="001F6557" w:rsidRDefault="005510C0" w:rsidP="001F6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14–17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kapen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doza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vogla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përdorim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vetjak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përdorë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burgun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komunitetit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detyrimin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ndjekjen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programeve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rehabilitimit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qëllim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kriminalizohen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qeli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FFCE4D" w14:textId="53E40BFB" w:rsidR="005510C0" w:rsidRPr="001F6557" w:rsidRDefault="005510C0" w:rsidP="001F6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F6557">
        <w:rPr>
          <w:rFonts w:ascii="Times New Roman" w:eastAsia="Times New Roman" w:hAnsi="Times New Roman" w:cs="Times New Roman"/>
          <w:b/>
          <w:bCs/>
          <w:sz w:val="32"/>
          <w:szCs w:val="32"/>
        </w:rPr>
        <w:t>Përfundim</w:t>
      </w:r>
      <w:proofErr w:type="spellEnd"/>
    </w:p>
    <w:p w14:paraId="2649AAFE" w14:textId="3ADA4392" w:rsidR="005510C0" w:rsidRPr="005510C0" w:rsidRDefault="005510C0" w:rsidP="004E2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Grupmosha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14–21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pika ku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shoqëria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shqiptare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ndërton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ardhmen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humb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qelitë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burgjeve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qendrat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reanimacionit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Lidhja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midis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drogës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kriminalitetit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kjo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moshë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emergjencë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kombëtare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Rritja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krimeve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drogës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Shqipëri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fakti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pothuajse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autorë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krimesh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kryesisht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meshkuj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tregon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koha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fushata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sipërfaqësore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mbaruar.Mbrojtja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brezi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kërkon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përbashkët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prindërit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shkollat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universitetet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drejtësisë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duke i parë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këta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rinj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individë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nevojë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udhëheqje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mbrojtje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rrjetet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kriminale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t'i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shpëtojmë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ata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rrethi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vicioz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varësisë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krimit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56DD53" w14:textId="77777777" w:rsidR="005510C0" w:rsidRPr="000D40E2" w:rsidRDefault="005510C0" w:rsidP="004E25B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0D40E2">
        <w:rPr>
          <w:rFonts w:ascii="Times New Roman" w:eastAsia="Times New Roman" w:hAnsi="Times New Roman" w:cs="Times New Roman"/>
          <w:b/>
          <w:bCs/>
          <w:sz w:val="32"/>
          <w:szCs w:val="32"/>
        </w:rPr>
        <w:t>Referencat</w:t>
      </w:r>
      <w:proofErr w:type="spellEnd"/>
    </w:p>
    <w:p w14:paraId="1575B636" w14:textId="77777777" w:rsidR="005510C0" w:rsidRPr="005510C0" w:rsidRDefault="005510C0" w:rsidP="004E25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United Nations Office on Drugs and Crime (UNODC). </w:t>
      </w:r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World Drug Report 2025</w:t>
      </w:r>
      <w:r w:rsidRPr="005510C0">
        <w:rPr>
          <w:rFonts w:ascii="Times New Roman" w:eastAsia="Times New Roman" w:hAnsi="Times New Roman" w:cs="Times New Roman"/>
          <w:sz w:val="24"/>
          <w:szCs w:val="24"/>
        </w:rPr>
        <w:t>. Vienna: United Nations, 2025.</w:t>
      </w:r>
    </w:p>
    <w:p w14:paraId="5FDBEF3C" w14:textId="77777777" w:rsidR="005510C0" w:rsidRPr="005510C0" w:rsidRDefault="005510C0" w:rsidP="004E25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INSTAT.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Statistikat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Krimit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Drejtësisë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Penale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2024 (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Publikuar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2025)</w:t>
      </w: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Tiranë, 2025. </w:t>
      </w:r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Burimi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shifrën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93%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meshkuj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rritjen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27%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krimeve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drogës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51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75C4CA" w14:textId="77777777" w:rsidR="005510C0" w:rsidRPr="005510C0" w:rsidRDefault="005510C0" w:rsidP="004E25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Prokuroria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Përgjithshme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Republikës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Raporti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mbi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Gjendjen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Kriminalitetit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Vitin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2024</w:t>
      </w:r>
      <w:r w:rsidRPr="005510C0">
        <w:rPr>
          <w:rFonts w:ascii="Times New Roman" w:eastAsia="Times New Roman" w:hAnsi="Times New Roman" w:cs="Times New Roman"/>
          <w:sz w:val="24"/>
          <w:szCs w:val="24"/>
        </w:rPr>
        <w:t>. Tiranë, 2025.</w:t>
      </w:r>
    </w:p>
    <w:p w14:paraId="280B33C1" w14:textId="77777777" w:rsidR="005510C0" w:rsidRPr="005510C0" w:rsidRDefault="005510C0" w:rsidP="004E25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Ministria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Republikës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Raporti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Vlerësimit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mbi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Zbatimin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Paketës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Kombëtare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Sigurisë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në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Shkolla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 Tiranë, 2024/2025.</w:t>
      </w:r>
    </w:p>
    <w:p w14:paraId="50CD39B2" w14:textId="77777777" w:rsidR="005510C0" w:rsidRPr="005510C0" w:rsidRDefault="005510C0" w:rsidP="004E25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Kodi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Drejtësisë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Penale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Mitur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Republikës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së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Shqipërisë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Nr. 37/2017 (I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përditësuar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C2B3F8C" w14:textId="77777777" w:rsidR="005510C0" w:rsidRPr="005510C0" w:rsidRDefault="005510C0" w:rsidP="004E25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Instituti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Shëndetit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 (ISHP).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Raporti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Kombëtar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mbi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Monitorimin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Drogave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Trendet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Adoleshentëve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 Tiranë, 2024.</w:t>
      </w:r>
    </w:p>
    <w:p w14:paraId="5231CE8D" w14:textId="77777777" w:rsidR="005510C0" w:rsidRPr="005510C0" w:rsidRDefault="005510C0" w:rsidP="004E25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0C0">
        <w:rPr>
          <w:rFonts w:ascii="Times New Roman" w:eastAsia="Times New Roman" w:hAnsi="Times New Roman" w:cs="Times New Roman"/>
          <w:sz w:val="24"/>
          <w:szCs w:val="24"/>
        </w:rPr>
        <w:t xml:space="preserve">SPAK.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Raporti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Vjetor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mbi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Krimet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Organizuara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Përfshirjen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0C0">
        <w:rPr>
          <w:rFonts w:ascii="Times New Roman" w:eastAsia="Times New Roman" w:hAnsi="Times New Roman" w:cs="Times New Roman"/>
          <w:i/>
          <w:iCs/>
          <w:sz w:val="24"/>
          <w:szCs w:val="24"/>
        </w:rPr>
        <w:t>Rinjve</w:t>
      </w:r>
      <w:proofErr w:type="spellEnd"/>
      <w:r w:rsidRPr="005510C0">
        <w:rPr>
          <w:rFonts w:ascii="Times New Roman" w:eastAsia="Times New Roman" w:hAnsi="Times New Roman" w:cs="Times New Roman"/>
          <w:sz w:val="24"/>
          <w:szCs w:val="24"/>
        </w:rPr>
        <w:t>. Tiranë, 2025.</w:t>
      </w:r>
    </w:p>
    <w:p w14:paraId="08CA4730" w14:textId="1ACCE728" w:rsidR="00884029" w:rsidRDefault="005510C0" w:rsidP="004875D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 w:rsidRPr="001F6557">
        <w:rPr>
          <w:rFonts w:ascii="Times New Roman" w:eastAsia="Times New Roman" w:hAnsi="Times New Roman" w:cs="Times New Roman"/>
          <w:sz w:val="24"/>
          <w:szCs w:val="24"/>
        </w:rPr>
        <w:t xml:space="preserve">European Monitoring Centre for Drugs and Drug Addiction (EMCDDA). </w:t>
      </w:r>
      <w:r w:rsidRPr="001F6557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Drug Report 2025: Focus on Youth Vulnerability</w:t>
      </w:r>
      <w:r w:rsidRPr="001F6557">
        <w:rPr>
          <w:rFonts w:ascii="Times New Roman" w:eastAsia="Times New Roman" w:hAnsi="Times New Roman" w:cs="Times New Roman"/>
          <w:sz w:val="24"/>
          <w:szCs w:val="24"/>
        </w:rPr>
        <w:t>. Lisbon, 2025.</w:t>
      </w:r>
    </w:p>
    <w:sectPr w:rsidR="00884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F6D7274"/>
    <w:multiLevelType w:val="multilevel"/>
    <w:tmpl w:val="2D568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00A93"/>
    <w:multiLevelType w:val="multilevel"/>
    <w:tmpl w:val="AC1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46052"/>
    <w:multiLevelType w:val="hybridMultilevel"/>
    <w:tmpl w:val="D8443708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" w15:restartNumberingAfterBreak="0">
    <w:nsid w:val="24574A52"/>
    <w:multiLevelType w:val="hybridMultilevel"/>
    <w:tmpl w:val="D0BAEB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C5D49"/>
    <w:multiLevelType w:val="multilevel"/>
    <w:tmpl w:val="EC30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25A5A"/>
    <w:multiLevelType w:val="hybridMultilevel"/>
    <w:tmpl w:val="E08272FA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 w15:restartNumberingAfterBreak="0">
    <w:nsid w:val="37186098"/>
    <w:multiLevelType w:val="hybridMultilevel"/>
    <w:tmpl w:val="240415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910217"/>
    <w:multiLevelType w:val="multilevel"/>
    <w:tmpl w:val="D8B6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117069"/>
    <w:multiLevelType w:val="multilevel"/>
    <w:tmpl w:val="778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005BE"/>
    <w:multiLevelType w:val="multilevel"/>
    <w:tmpl w:val="042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96BBF"/>
    <w:multiLevelType w:val="multilevel"/>
    <w:tmpl w:val="7C02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F77E11"/>
    <w:multiLevelType w:val="hybridMultilevel"/>
    <w:tmpl w:val="4CCCC0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C66E7"/>
    <w:multiLevelType w:val="multilevel"/>
    <w:tmpl w:val="CBC2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295345"/>
    <w:multiLevelType w:val="hybridMultilevel"/>
    <w:tmpl w:val="B68A3C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6C026C"/>
    <w:multiLevelType w:val="multilevel"/>
    <w:tmpl w:val="120E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1D794F"/>
    <w:multiLevelType w:val="multilevel"/>
    <w:tmpl w:val="4A3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67558">
    <w:abstractNumId w:val="14"/>
  </w:num>
  <w:num w:numId="2" w16cid:durableId="1554390395">
    <w:abstractNumId w:val="12"/>
  </w:num>
  <w:num w:numId="3" w16cid:durableId="1262957341">
    <w:abstractNumId w:val="15"/>
  </w:num>
  <w:num w:numId="4" w16cid:durableId="399452339">
    <w:abstractNumId w:val="4"/>
  </w:num>
  <w:num w:numId="5" w16cid:durableId="1122575906">
    <w:abstractNumId w:val="8"/>
  </w:num>
  <w:num w:numId="6" w16cid:durableId="309795880">
    <w:abstractNumId w:val="10"/>
  </w:num>
  <w:num w:numId="7" w16cid:durableId="1387146501">
    <w:abstractNumId w:val="1"/>
  </w:num>
  <w:num w:numId="8" w16cid:durableId="1189416155">
    <w:abstractNumId w:val="9"/>
  </w:num>
  <w:num w:numId="9" w16cid:durableId="1711808413">
    <w:abstractNumId w:val="7"/>
  </w:num>
  <w:num w:numId="10" w16cid:durableId="1339577084">
    <w:abstractNumId w:val="0"/>
  </w:num>
  <w:num w:numId="11" w16cid:durableId="52317549">
    <w:abstractNumId w:val="5"/>
  </w:num>
  <w:num w:numId="12" w16cid:durableId="432938887">
    <w:abstractNumId w:val="11"/>
  </w:num>
  <w:num w:numId="13" w16cid:durableId="390690494">
    <w:abstractNumId w:val="2"/>
  </w:num>
  <w:num w:numId="14" w16cid:durableId="2113355524">
    <w:abstractNumId w:val="3"/>
  </w:num>
  <w:num w:numId="15" w16cid:durableId="1311405660">
    <w:abstractNumId w:val="13"/>
  </w:num>
  <w:num w:numId="16" w16cid:durableId="1362587757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29"/>
    <w:rsid w:val="00030949"/>
    <w:rsid w:val="000D40E2"/>
    <w:rsid w:val="001C4EA9"/>
    <w:rsid w:val="001D7063"/>
    <w:rsid w:val="001F6557"/>
    <w:rsid w:val="004E25B2"/>
    <w:rsid w:val="005510C0"/>
    <w:rsid w:val="00884029"/>
    <w:rsid w:val="009C7FE6"/>
    <w:rsid w:val="00A00304"/>
    <w:rsid w:val="00AD2828"/>
    <w:rsid w:val="00CD1A18"/>
    <w:rsid w:val="00DA2545"/>
    <w:rsid w:val="00EF573A"/>
    <w:rsid w:val="00F9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20D5DD"/>
  <w15:chartTrackingRefBased/>
  <w15:docId w15:val="{1000A7A2-516C-4E5E-A668-D239631E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40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7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7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Glirjana Laçi</dc:creator>
  <cp:keywords/>
  <dc:description/>
  <cp:lastModifiedBy>Olsi Prifti</cp:lastModifiedBy>
  <cp:revision>2</cp:revision>
  <dcterms:created xsi:type="dcterms:W3CDTF">2026-06-26T07:16:00Z</dcterms:created>
  <dcterms:modified xsi:type="dcterms:W3CDTF">2026-06-26T07:16:00Z</dcterms:modified>
</cp:coreProperties>
</file>